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>15/105</w:t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Relinging von Straßenablaufanschlussleitungen 2026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2026-0295-66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Die Arbeiten umfassen überwiegend die Renovierung schadhafter Straßenablaufanschlussleitungen im Schlauchreliningverfahren. Es handelt sich dabei um ca. 70 einzelne, in sich abgeschlossene Reliningmaßnahmen, die sich über das gesamte Stadtgebiet Münsters verteilen.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